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3D" w:rsidRDefault="00CB74D3" w:rsidP="00CB74D3">
      <w:pPr>
        <w:jc w:val="both"/>
      </w:pPr>
      <w:r>
        <w:rPr>
          <w:rStyle w:val="Textoennegrita"/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Cecilia </w:t>
      </w:r>
      <w:proofErr w:type="spellStart"/>
      <w:r>
        <w:rPr>
          <w:rStyle w:val="Textoennegrita"/>
          <w:rFonts w:ascii="Book Antiqua" w:hAnsi="Book Antiqua"/>
          <w:color w:val="000000"/>
          <w:sz w:val="26"/>
          <w:szCs w:val="26"/>
          <w:shd w:val="clear" w:color="auto" w:fill="FFFFFF"/>
        </w:rPr>
        <w:t>Twinch</w:t>
      </w:r>
      <w:proofErr w:type="spellEnd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 es investigadora en la </w:t>
      </w:r>
      <w:proofErr w:type="spellStart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>Muhyiddin</w:t>
      </w:r>
      <w:proofErr w:type="spellEnd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>Ibn</w:t>
      </w:r>
      <w:proofErr w:type="spellEnd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>Arabi</w:t>
      </w:r>
      <w:proofErr w:type="spellEnd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>Society</w:t>
      </w:r>
      <w:proofErr w:type="spellEnd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 en Oxford. Además de trabajar como profesora, traductora y editora, ha escrito numerosos artículos y ha impartido conferencias sobre </w:t>
      </w:r>
      <w:proofErr w:type="spellStart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>Ibn</w:t>
      </w:r>
      <w:proofErr w:type="spellEnd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>Arabi</w:t>
      </w:r>
      <w:proofErr w:type="spellEnd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 y la mística en todo el mundo. Entre sus publicaciones se incluyen una traducción al inglés, junto con Pablo </w:t>
      </w:r>
      <w:proofErr w:type="spellStart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>Beneito</w:t>
      </w:r>
      <w:proofErr w:type="spellEnd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>, de la obra </w:t>
      </w:r>
      <w:proofErr w:type="spellStart"/>
      <w:r>
        <w:rPr>
          <w:rStyle w:val="nfasis"/>
          <w:rFonts w:ascii="Book Antiqua" w:hAnsi="Book Antiqua"/>
          <w:color w:val="000000"/>
          <w:sz w:val="26"/>
          <w:szCs w:val="26"/>
          <w:shd w:val="clear" w:color="auto" w:fill="FFFFFF"/>
        </w:rPr>
        <w:t>Contemplation</w:t>
      </w:r>
      <w:proofErr w:type="spellEnd"/>
      <w:r>
        <w:rPr>
          <w:rStyle w:val="nfasis"/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 of </w:t>
      </w:r>
      <w:proofErr w:type="spellStart"/>
      <w:r>
        <w:rPr>
          <w:rStyle w:val="nfasis"/>
          <w:rFonts w:ascii="Book Antiqua" w:hAnsi="Book Antiqua"/>
          <w:color w:val="000000"/>
          <w:sz w:val="26"/>
          <w:szCs w:val="26"/>
          <w:shd w:val="clear" w:color="auto" w:fill="FFFFFF"/>
        </w:rPr>
        <w:t>the</w:t>
      </w:r>
      <w:proofErr w:type="spellEnd"/>
      <w:r>
        <w:rPr>
          <w:rStyle w:val="nfasis"/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nfasis"/>
          <w:rFonts w:ascii="Book Antiqua" w:hAnsi="Book Antiqua"/>
          <w:color w:val="000000"/>
          <w:sz w:val="26"/>
          <w:szCs w:val="26"/>
          <w:shd w:val="clear" w:color="auto" w:fill="FFFFFF"/>
        </w:rPr>
        <w:t>Holy</w:t>
      </w:r>
      <w:proofErr w:type="spellEnd"/>
      <w:r>
        <w:rPr>
          <w:rStyle w:val="nfasis"/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nfasis"/>
          <w:rFonts w:ascii="Book Antiqua" w:hAnsi="Book Antiqua"/>
          <w:color w:val="000000"/>
          <w:sz w:val="26"/>
          <w:szCs w:val="26"/>
          <w:shd w:val="clear" w:color="auto" w:fill="FFFFFF"/>
        </w:rPr>
        <w:t>Mysteries</w:t>
      </w:r>
      <w:proofErr w:type="spellEnd"/>
      <w:r>
        <w:rPr>
          <w:rStyle w:val="nfasis"/>
          <w:rFonts w:ascii="Book Antiqua" w:hAnsi="Book Antiqua"/>
          <w:color w:val="000000"/>
          <w:sz w:val="26"/>
          <w:szCs w:val="26"/>
          <w:shd w:val="clear" w:color="auto" w:fill="FFFFFF"/>
        </w:rPr>
        <w:t> </w:t>
      </w:r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de </w:t>
      </w:r>
      <w:proofErr w:type="spellStart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>Ibn</w:t>
      </w:r>
      <w:proofErr w:type="spellEnd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>Arabi</w:t>
      </w:r>
      <w:proofErr w:type="spellEnd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 y una nueva traducción de </w:t>
      </w:r>
      <w:proofErr w:type="spellStart"/>
      <w:r>
        <w:rPr>
          <w:rStyle w:val="nfasis"/>
          <w:rFonts w:ascii="Book Antiqua" w:hAnsi="Book Antiqua"/>
          <w:color w:val="000000"/>
          <w:sz w:val="26"/>
          <w:szCs w:val="26"/>
          <w:shd w:val="clear" w:color="auto" w:fill="FFFFFF"/>
        </w:rPr>
        <w:t>Know</w:t>
      </w:r>
      <w:proofErr w:type="spellEnd"/>
      <w:r>
        <w:rPr>
          <w:rStyle w:val="nfasis"/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nfasis"/>
          <w:rFonts w:ascii="Book Antiqua" w:hAnsi="Book Antiqua"/>
          <w:color w:val="000000"/>
          <w:sz w:val="26"/>
          <w:szCs w:val="26"/>
          <w:shd w:val="clear" w:color="auto" w:fill="FFFFFF"/>
        </w:rPr>
        <w:t>yourself</w:t>
      </w:r>
      <w:proofErr w:type="spellEnd"/>
      <w:r>
        <w:rPr>
          <w:rStyle w:val="nfasis"/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rStyle w:val="nfasis"/>
          <w:rFonts w:ascii="Book Antiqua" w:hAnsi="Book Antiqua"/>
          <w:color w:val="000000"/>
          <w:sz w:val="26"/>
          <w:szCs w:val="26"/>
          <w:shd w:val="clear" w:color="auto" w:fill="FFFFFF"/>
        </w:rPr>
        <w:t>An</w:t>
      </w:r>
      <w:proofErr w:type="spellEnd"/>
      <w:r>
        <w:rPr>
          <w:rStyle w:val="nfasis"/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nfasis"/>
          <w:rFonts w:ascii="Book Antiqua" w:hAnsi="Book Antiqua"/>
          <w:color w:val="000000"/>
          <w:sz w:val="26"/>
          <w:szCs w:val="26"/>
          <w:shd w:val="clear" w:color="auto" w:fill="FFFFFF"/>
        </w:rPr>
        <w:t>explanation</w:t>
      </w:r>
      <w:proofErr w:type="spellEnd"/>
      <w:r>
        <w:rPr>
          <w:rStyle w:val="nfasis"/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 of </w:t>
      </w:r>
      <w:proofErr w:type="spellStart"/>
      <w:r>
        <w:rPr>
          <w:rStyle w:val="nfasis"/>
          <w:rFonts w:ascii="Book Antiqua" w:hAnsi="Book Antiqua"/>
          <w:color w:val="000000"/>
          <w:sz w:val="26"/>
          <w:szCs w:val="26"/>
          <w:shd w:val="clear" w:color="auto" w:fill="FFFFFF"/>
        </w:rPr>
        <w:t>the</w:t>
      </w:r>
      <w:proofErr w:type="spellEnd"/>
      <w:r>
        <w:rPr>
          <w:rStyle w:val="nfasis"/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nfasis"/>
          <w:rFonts w:ascii="Book Antiqua" w:hAnsi="Book Antiqua"/>
          <w:color w:val="000000"/>
          <w:sz w:val="26"/>
          <w:szCs w:val="26"/>
          <w:shd w:val="clear" w:color="auto" w:fill="FFFFFF"/>
        </w:rPr>
        <w:t>oneness</w:t>
      </w:r>
      <w:proofErr w:type="spellEnd"/>
      <w:r>
        <w:rPr>
          <w:rStyle w:val="nfasis"/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 of </w:t>
      </w:r>
      <w:proofErr w:type="spellStart"/>
      <w:r>
        <w:rPr>
          <w:rStyle w:val="nfasis"/>
          <w:rFonts w:ascii="Book Antiqua" w:hAnsi="Book Antiqua"/>
          <w:color w:val="000000"/>
          <w:sz w:val="26"/>
          <w:szCs w:val="26"/>
          <w:shd w:val="clear" w:color="auto" w:fill="FFFFFF"/>
        </w:rPr>
        <w:t>Being</w:t>
      </w:r>
      <w:proofErr w:type="spellEnd"/>
      <w:r>
        <w:rPr>
          <w:rStyle w:val="nfasis"/>
          <w:rFonts w:ascii="Book Antiqua" w:hAnsi="Book Antiqua"/>
          <w:color w:val="000000"/>
          <w:sz w:val="26"/>
          <w:szCs w:val="26"/>
          <w:shd w:val="clear" w:color="auto" w:fill="FFFFFF"/>
        </w:rPr>
        <w:t> </w:t>
      </w:r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(Conócete a ti mismo: acerca de la Unicidad del Ser), a partir de manuscritos árabes atribuidos a </w:t>
      </w:r>
      <w:proofErr w:type="spellStart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>Ibn</w:t>
      </w:r>
      <w:proofErr w:type="spellEnd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>Arabi</w:t>
      </w:r>
      <w:proofErr w:type="spellEnd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 y </w:t>
      </w:r>
      <w:proofErr w:type="spellStart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>Balyani</w:t>
      </w:r>
      <w:proofErr w:type="spellEnd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>. Entre sus artículos en español se cuentan “El círculo inclusivo” en </w:t>
      </w:r>
      <w:r>
        <w:rPr>
          <w:rStyle w:val="nfasis"/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El viaje interior entre Oriente y Occidente: La actualidad del pensamiento de </w:t>
      </w:r>
      <w:proofErr w:type="spellStart"/>
      <w:r>
        <w:rPr>
          <w:rStyle w:val="nfasis"/>
          <w:rFonts w:ascii="Book Antiqua" w:hAnsi="Book Antiqua"/>
          <w:color w:val="000000"/>
          <w:sz w:val="26"/>
          <w:szCs w:val="26"/>
          <w:shd w:val="clear" w:color="auto" w:fill="FFFFFF"/>
        </w:rPr>
        <w:t>Ibn</w:t>
      </w:r>
      <w:proofErr w:type="spellEnd"/>
      <w:r>
        <w:rPr>
          <w:rStyle w:val="nfasis"/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nfasis"/>
          <w:rFonts w:ascii="Book Antiqua" w:hAnsi="Book Antiqua"/>
          <w:color w:val="000000"/>
          <w:sz w:val="26"/>
          <w:szCs w:val="26"/>
          <w:shd w:val="clear" w:color="auto" w:fill="FFFFFF"/>
        </w:rPr>
        <w:t>Arabi</w:t>
      </w:r>
      <w:proofErr w:type="spellEnd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>Mandala</w:t>
      </w:r>
      <w:proofErr w:type="spellEnd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>, Madrid, 2007; “Juliana de Norwich: Todo acabará bien” en </w:t>
      </w:r>
      <w:r>
        <w:rPr>
          <w:rStyle w:val="nfasis"/>
          <w:rFonts w:ascii="Book Antiqua" w:hAnsi="Book Antiqua"/>
          <w:color w:val="000000"/>
          <w:sz w:val="26"/>
          <w:szCs w:val="26"/>
          <w:shd w:val="clear" w:color="auto" w:fill="FFFFFF"/>
        </w:rPr>
        <w:t>Mujeres de Luz</w:t>
      </w:r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 (ed. P. </w:t>
      </w:r>
      <w:proofErr w:type="spellStart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>Beneito</w:t>
      </w:r>
      <w:proofErr w:type="spellEnd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>), Madrid, 2001; “</w:t>
      </w:r>
      <w:proofErr w:type="spellStart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>M</w:t>
      </w:r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>uhyiddin</w:t>
      </w:r>
      <w:proofErr w:type="spellEnd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>Ibn</w:t>
      </w:r>
      <w:proofErr w:type="spellEnd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>Arabi</w:t>
      </w:r>
      <w:proofErr w:type="spellEnd"/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 y la sabidurí</w:t>
      </w:r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>a interior” en </w:t>
      </w:r>
      <w:r>
        <w:rPr>
          <w:rStyle w:val="nfasis"/>
          <w:rFonts w:ascii="Book Antiqua" w:hAnsi="Book Antiqua"/>
          <w:color w:val="000000"/>
          <w:sz w:val="26"/>
          <w:szCs w:val="26"/>
          <w:shd w:val="clear" w:color="auto" w:fill="FFFFFF"/>
        </w:rPr>
        <w:t>Los Dos Horizontes</w:t>
      </w:r>
      <w:r>
        <w:rPr>
          <w:rFonts w:ascii="Book Antiqua" w:hAnsi="Book Antiqua"/>
          <w:color w:val="000000"/>
          <w:sz w:val="26"/>
          <w:szCs w:val="26"/>
          <w:shd w:val="clear" w:color="auto" w:fill="FFFFFF"/>
        </w:rPr>
        <w:t> (ed. A. Carmona), Murcia, 1992.</w:t>
      </w:r>
      <w:bookmarkStart w:id="0" w:name="_GoBack"/>
      <w:bookmarkEnd w:id="0"/>
    </w:p>
    <w:sectPr w:rsidR="00BD3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D3"/>
    <w:rsid w:val="009677F4"/>
    <w:rsid w:val="00CB74D3"/>
    <w:rsid w:val="00F6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4C2E5-9560-48F1-A68F-7480D816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B74D3"/>
    <w:rPr>
      <w:b/>
      <w:bCs/>
    </w:rPr>
  </w:style>
  <w:style w:type="character" w:styleId="nfasis">
    <w:name w:val="Emphasis"/>
    <w:basedOn w:val="Fuentedeprrafopredeter"/>
    <w:uiPriority w:val="20"/>
    <w:qFormat/>
    <w:rsid w:val="00CB74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</dc:creator>
  <cp:keywords/>
  <dc:description/>
  <cp:lastModifiedBy>P B</cp:lastModifiedBy>
  <cp:revision>1</cp:revision>
  <dcterms:created xsi:type="dcterms:W3CDTF">2014-10-31T17:38:00Z</dcterms:created>
  <dcterms:modified xsi:type="dcterms:W3CDTF">2014-10-31T17:39:00Z</dcterms:modified>
</cp:coreProperties>
</file>