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3D" w:rsidRDefault="00CB74D3" w:rsidP="00CB74D3">
      <w:pPr>
        <w:jc w:val="both"/>
      </w:pPr>
      <w:r>
        <w:rPr>
          <w:rStyle w:val="Textoennegrita"/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Cecilia </w:t>
      </w:r>
      <w:proofErr w:type="spellStart"/>
      <w:r>
        <w:rPr>
          <w:rStyle w:val="Textoennegrita"/>
          <w:rFonts w:ascii="Book Antiqua" w:hAnsi="Book Antiqua"/>
          <w:color w:val="000000"/>
          <w:sz w:val="26"/>
          <w:szCs w:val="26"/>
          <w:shd w:val="clear" w:color="auto" w:fill="FFFFFF"/>
        </w:rPr>
        <w:t>Twinch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 es investigadora en la </w:t>
      </w:r>
      <w:proofErr w:type="spellStart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Muhyiddin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Ibn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Arabi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Society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en Oxford. Además de trabajar como profesora, traductora y editora, ha escrito numerosos artículos y ha impartido conferencias sobre </w:t>
      </w:r>
      <w:proofErr w:type="spellStart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Ibn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Arabi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y la mística en todo el mundo. Entre sus publicaciones se incluyen una traducción al inglés, junto con Pablo </w:t>
      </w:r>
      <w:proofErr w:type="spellStart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Beneito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, de la obra </w:t>
      </w:r>
      <w:proofErr w:type="spellStart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>Contemplation</w:t>
      </w:r>
      <w:proofErr w:type="spellEnd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of </w:t>
      </w:r>
      <w:proofErr w:type="spellStart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>the</w:t>
      </w:r>
      <w:proofErr w:type="spellEnd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>Holy</w:t>
      </w:r>
      <w:proofErr w:type="spellEnd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>Mysteries</w:t>
      </w:r>
      <w:proofErr w:type="spellEnd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> </w:t>
      </w:r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de </w:t>
      </w:r>
      <w:proofErr w:type="spellStart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Ibn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Arabi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y una nueva traducción de </w:t>
      </w:r>
      <w:proofErr w:type="spellStart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>Know</w:t>
      </w:r>
      <w:proofErr w:type="spellEnd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>yourself</w:t>
      </w:r>
      <w:proofErr w:type="spellEnd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>An</w:t>
      </w:r>
      <w:proofErr w:type="spellEnd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>explanation</w:t>
      </w:r>
      <w:proofErr w:type="spellEnd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of </w:t>
      </w:r>
      <w:proofErr w:type="spellStart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>the</w:t>
      </w:r>
      <w:proofErr w:type="spellEnd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>oneness</w:t>
      </w:r>
      <w:proofErr w:type="spellEnd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of </w:t>
      </w:r>
      <w:proofErr w:type="spellStart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>Being</w:t>
      </w:r>
      <w:proofErr w:type="spellEnd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> </w:t>
      </w:r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(Conócete a ti mismo: acerca de la Unicidad del Ser), a partir de manuscritos árabes atribuidos a </w:t>
      </w:r>
      <w:proofErr w:type="spellStart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Ibn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Arabi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y </w:t>
      </w:r>
      <w:proofErr w:type="spellStart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Balyani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. Entre sus artículos en español se cuentan “El círculo inclusivo” en </w:t>
      </w:r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El viaje interior entre Oriente y Occidente: La actualidad del pensamiento de </w:t>
      </w:r>
      <w:proofErr w:type="spellStart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>Ibn</w:t>
      </w:r>
      <w:proofErr w:type="spellEnd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>Arabi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Mandala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, Madrid, 2007; “Juliana de Norwich: Todo acabará bien” en </w:t>
      </w:r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>Mujeres de Luz</w:t>
      </w:r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 (ed. P. </w:t>
      </w:r>
      <w:proofErr w:type="spellStart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Beneito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), Madrid, 2001; “</w:t>
      </w:r>
      <w:proofErr w:type="spellStart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M</w:t>
      </w:r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uhyiddin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Ibn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Arabi</w:t>
      </w:r>
      <w:proofErr w:type="spellEnd"/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 y la sabidurí</w:t>
      </w:r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a interior” en </w:t>
      </w:r>
      <w:r>
        <w:rPr>
          <w:rStyle w:val="nfasis"/>
          <w:rFonts w:ascii="Book Antiqua" w:hAnsi="Book Antiqua"/>
          <w:color w:val="000000"/>
          <w:sz w:val="26"/>
          <w:szCs w:val="26"/>
          <w:shd w:val="clear" w:color="auto" w:fill="FFFFFF"/>
        </w:rPr>
        <w:t>Los Dos Horizontes</w:t>
      </w:r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 (ed. A. Carmona), Murcia, 1992.</w:t>
      </w:r>
      <w:bookmarkStart w:id="0" w:name="_GoBack"/>
      <w:bookmarkEnd w:id="0"/>
    </w:p>
    <w:sectPr w:rsidR="00BD3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D3"/>
    <w:rsid w:val="009677F4"/>
    <w:rsid w:val="00CB74D3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4C2E5-9560-48F1-A68F-7480D816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B74D3"/>
    <w:rPr>
      <w:b/>
      <w:bCs/>
    </w:rPr>
  </w:style>
  <w:style w:type="character" w:styleId="nfasis">
    <w:name w:val="Emphasis"/>
    <w:basedOn w:val="Fuentedeprrafopredeter"/>
    <w:uiPriority w:val="20"/>
    <w:qFormat/>
    <w:rsid w:val="00CB74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</dc:creator>
  <cp:keywords/>
  <dc:description/>
  <cp:lastModifiedBy>P B</cp:lastModifiedBy>
  <cp:revision>1</cp:revision>
  <dcterms:created xsi:type="dcterms:W3CDTF">2014-10-31T17:38:00Z</dcterms:created>
  <dcterms:modified xsi:type="dcterms:W3CDTF">2014-10-31T17:39:00Z</dcterms:modified>
</cp:coreProperties>
</file>